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1E49" w14:textId="77777777" w:rsidR="00190425" w:rsidRDefault="00190425" w:rsidP="00190425">
      <w:pPr>
        <w:pStyle w:val="paragraph"/>
        <w:shd w:val="clear" w:color="auto" w:fill="FFFFFF"/>
        <w:rPr>
          <w:rFonts w:ascii="Segoe UI" w:hAnsi="Segoe UI" w:cs="Segoe UI"/>
          <w:sz w:val="18"/>
          <w:szCs w:val="18"/>
        </w:rPr>
      </w:pPr>
      <w:r>
        <w:rPr>
          <w:rStyle w:val="normaltextrun"/>
        </w:rPr>
        <w:t>Good morning parent/guardians,</w:t>
      </w:r>
      <w:r>
        <w:rPr>
          <w:rStyle w:val="eop"/>
        </w:rPr>
        <w:t> </w:t>
      </w:r>
    </w:p>
    <w:p w14:paraId="20729E74" w14:textId="77777777" w:rsidR="00190425" w:rsidRDefault="00190425" w:rsidP="00190425">
      <w:pPr>
        <w:pStyle w:val="paragraph"/>
        <w:shd w:val="clear" w:color="auto" w:fill="FFFFFF"/>
        <w:rPr>
          <w:rFonts w:ascii="Segoe UI" w:hAnsi="Segoe UI" w:cs="Segoe UI"/>
          <w:sz w:val="18"/>
          <w:szCs w:val="18"/>
        </w:rPr>
      </w:pPr>
      <w:r>
        <w:rPr>
          <w:rStyle w:val="normaltextrun"/>
        </w:rPr>
        <w:t>School is soon to begin and here are some things you need to know.  Drop off time for students will be from 8:05am until 8:20am. We kindly request that students are not dropped off at the school before 8:05am. Our end of day will be at 3pm. K-2 students may leave at the end of their instructional day at 2pm if they are not taking a bus.  </w:t>
      </w:r>
      <w:r>
        <w:rPr>
          <w:rStyle w:val="eop"/>
        </w:rPr>
        <w:t> </w:t>
      </w:r>
    </w:p>
    <w:p w14:paraId="68358A00" w14:textId="77777777" w:rsidR="00190425" w:rsidRDefault="00190425" w:rsidP="00190425">
      <w:pPr>
        <w:pStyle w:val="paragraph"/>
        <w:shd w:val="clear" w:color="auto" w:fill="FFFFFF"/>
        <w:rPr>
          <w:rFonts w:ascii="Segoe UI" w:hAnsi="Segoe UI" w:cs="Segoe UI"/>
          <w:sz w:val="18"/>
          <w:szCs w:val="18"/>
        </w:rPr>
      </w:pPr>
      <w:r>
        <w:br/>
      </w:r>
    </w:p>
    <w:p w14:paraId="68FC153D" w14:textId="1440176B" w:rsidR="00190425" w:rsidRDefault="00190425" w:rsidP="00190425">
      <w:pPr>
        <w:pStyle w:val="paragraph"/>
        <w:shd w:val="clear" w:color="auto" w:fill="FFFFFF"/>
        <w:rPr>
          <w:rFonts w:ascii="Segoe UI" w:hAnsi="Segoe UI" w:cs="Segoe UI"/>
          <w:sz w:val="18"/>
          <w:szCs w:val="18"/>
        </w:rPr>
      </w:pPr>
      <w:r>
        <w:rPr>
          <w:rStyle w:val="normaltextrun"/>
        </w:rPr>
        <w:t>Students in K-12 will need to bring with them</w:t>
      </w:r>
      <w:r>
        <w:rPr>
          <w:rStyle w:val="normaltextrun"/>
        </w:rPr>
        <w:t xml:space="preserve">, </w:t>
      </w:r>
      <w:r>
        <w:rPr>
          <w:rStyle w:val="contextualspellingandgrammarerror"/>
        </w:rPr>
        <w:t>each day</w:t>
      </w:r>
      <w:r>
        <w:rPr>
          <w:rStyle w:val="normaltextrun"/>
        </w:rPr>
        <w:t>,</w:t>
      </w:r>
      <w:r>
        <w:rPr>
          <w:rStyle w:val="normaltextrun"/>
        </w:rPr>
        <w:t xml:space="preserve"> a community mask, and a </w:t>
      </w:r>
      <w:r>
        <w:rPr>
          <w:rStyle w:val="spellingerror"/>
        </w:rPr>
        <w:t>water bottle</w:t>
      </w:r>
      <w:r>
        <w:rPr>
          <w:rStyle w:val="normaltextrun"/>
        </w:rPr>
        <w:t>. </w:t>
      </w:r>
      <w:r>
        <w:rPr>
          <w:rStyle w:val="eop"/>
        </w:rPr>
        <w:t> </w:t>
      </w:r>
    </w:p>
    <w:p w14:paraId="29C7ACF0" w14:textId="77777777" w:rsidR="00190425" w:rsidRDefault="00190425" w:rsidP="00190425">
      <w:pPr>
        <w:pStyle w:val="paragraph"/>
        <w:shd w:val="clear" w:color="auto" w:fill="FFFFFF"/>
        <w:rPr>
          <w:rFonts w:ascii="Segoe UI" w:hAnsi="Segoe UI" w:cs="Segoe UI"/>
          <w:sz w:val="18"/>
          <w:szCs w:val="18"/>
        </w:rPr>
      </w:pPr>
      <w:r>
        <w:br/>
      </w:r>
    </w:p>
    <w:p w14:paraId="6C423C9D" w14:textId="238394A4" w:rsidR="00190425" w:rsidRDefault="00190425" w:rsidP="00190425">
      <w:pPr>
        <w:pStyle w:val="paragraph"/>
        <w:shd w:val="clear" w:color="auto" w:fill="FFFFFF"/>
        <w:rPr>
          <w:rFonts w:ascii="Segoe UI" w:hAnsi="Segoe UI" w:cs="Segoe UI"/>
          <w:sz w:val="18"/>
          <w:szCs w:val="18"/>
        </w:rPr>
      </w:pPr>
      <w:r>
        <w:rPr>
          <w:rStyle w:val="normaltextrun"/>
        </w:rPr>
        <w:t>Students from K-8 </w:t>
      </w:r>
      <w:r>
        <w:rPr>
          <w:rStyle w:val="advancedproofingissue"/>
        </w:rPr>
        <w:t>will always remain with their own bubble.</w:t>
      </w:r>
      <w:r>
        <w:rPr>
          <w:rStyle w:val="normaltextrun"/>
        </w:rPr>
        <w:t>  Students in K-8 will remain in their classroom and their teachers will come to them. We have aimed to reduce the </w:t>
      </w:r>
      <w:r>
        <w:rPr>
          <w:rStyle w:val="contextualspellingandgrammarerror"/>
        </w:rPr>
        <w:t>number</w:t>
      </w:r>
      <w:r>
        <w:rPr>
          <w:rStyle w:val="normaltextrun"/>
        </w:rPr>
        <w:t> of teachers your child will have.</w:t>
      </w:r>
      <w:r>
        <w:rPr>
          <w:rStyle w:val="eop"/>
        </w:rPr>
        <w:t> </w:t>
      </w:r>
    </w:p>
    <w:p w14:paraId="441C538A" w14:textId="77777777" w:rsidR="00190425" w:rsidRDefault="00190425" w:rsidP="00190425">
      <w:pPr>
        <w:pStyle w:val="paragraph"/>
        <w:shd w:val="clear" w:color="auto" w:fill="FFFFFF"/>
        <w:rPr>
          <w:rFonts w:ascii="Segoe UI" w:hAnsi="Segoe UI" w:cs="Segoe UI"/>
          <w:sz w:val="18"/>
          <w:szCs w:val="18"/>
        </w:rPr>
      </w:pPr>
      <w:r>
        <w:br/>
      </w:r>
    </w:p>
    <w:p w14:paraId="0DBD9C65" w14:textId="77777777" w:rsidR="00190425" w:rsidRDefault="00190425" w:rsidP="00190425">
      <w:pPr>
        <w:pStyle w:val="paragraph"/>
        <w:shd w:val="clear" w:color="auto" w:fill="FFFFFF"/>
        <w:rPr>
          <w:rFonts w:ascii="Segoe UI" w:hAnsi="Segoe UI" w:cs="Segoe UI"/>
          <w:sz w:val="18"/>
          <w:szCs w:val="18"/>
        </w:rPr>
      </w:pPr>
      <w:r>
        <w:rPr>
          <w:rStyle w:val="normaltextrun"/>
        </w:rPr>
        <w:t>Recess and lunch time have been divided according to bubbles. </w:t>
      </w:r>
      <w:r>
        <w:rPr>
          <w:rStyle w:val="eop"/>
        </w:rPr>
        <w:t> </w:t>
      </w:r>
    </w:p>
    <w:p w14:paraId="3E257834" w14:textId="77777777" w:rsidR="00190425" w:rsidRDefault="00190425" w:rsidP="00190425">
      <w:pPr>
        <w:pStyle w:val="paragraph"/>
        <w:shd w:val="clear" w:color="auto" w:fill="FFFFFF"/>
        <w:rPr>
          <w:rFonts w:ascii="Segoe UI" w:hAnsi="Segoe UI" w:cs="Segoe UI"/>
          <w:sz w:val="18"/>
          <w:szCs w:val="18"/>
        </w:rPr>
      </w:pPr>
      <w:r>
        <w:br/>
      </w:r>
    </w:p>
    <w:p w14:paraId="3E812E7E" w14:textId="77777777" w:rsidR="00190425" w:rsidRDefault="00190425" w:rsidP="00190425">
      <w:pPr>
        <w:pStyle w:val="paragraph"/>
        <w:shd w:val="clear" w:color="auto" w:fill="FFFFFF"/>
        <w:rPr>
          <w:rFonts w:ascii="Segoe UI" w:hAnsi="Segoe UI" w:cs="Segoe UI"/>
          <w:sz w:val="18"/>
          <w:szCs w:val="18"/>
        </w:rPr>
      </w:pPr>
      <w:r>
        <w:rPr>
          <w:rStyle w:val="normaltextrun"/>
        </w:rPr>
        <w:t>More information for students in grades 9-12 will be forthcoming.</w:t>
      </w:r>
      <w:r>
        <w:rPr>
          <w:rStyle w:val="eop"/>
        </w:rPr>
        <w:t> </w:t>
      </w:r>
    </w:p>
    <w:p w14:paraId="7CE17C2D" w14:textId="77777777" w:rsidR="00190425" w:rsidRDefault="00190425" w:rsidP="00190425">
      <w:pPr>
        <w:pStyle w:val="paragraph"/>
        <w:shd w:val="clear" w:color="auto" w:fill="FFFFFF"/>
        <w:rPr>
          <w:rFonts w:ascii="Segoe UI" w:hAnsi="Segoe UI" w:cs="Segoe UI"/>
          <w:sz w:val="18"/>
          <w:szCs w:val="18"/>
        </w:rPr>
      </w:pPr>
      <w:r>
        <w:br/>
      </w:r>
    </w:p>
    <w:p w14:paraId="7165B378" w14:textId="77777777" w:rsidR="00190425" w:rsidRDefault="00190425" w:rsidP="00190425">
      <w:pPr>
        <w:pStyle w:val="paragraph"/>
        <w:shd w:val="clear" w:color="auto" w:fill="FFFFFF"/>
        <w:rPr>
          <w:rFonts w:ascii="Segoe UI" w:hAnsi="Segoe UI" w:cs="Segoe UI"/>
          <w:sz w:val="18"/>
          <w:szCs w:val="18"/>
        </w:rPr>
      </w:pPr>
      <w:r>
        <w:rPr>
          <w:rStyle w:val="normaltextrun"/>
        </w:rPr>
        <w:t>Our initial days will have students attending in smaller groups to learn the routine for this school year.  Please see the chart below for more details.   You will be contacted the week prior to school beginning to let you know which day your child will attend.</w:t>
      </w:r>
      <w:r>
        <w:rPr>
          <w:rStyle w:val="eop"/>
        </w:rPr>
        <w:t> </w:t>
      </w:r>
    </w:p>
    <w:tbl>
      <w:tblPr>
        <w:tblW w:w="0" w:type="dxa"/>
        <w:tblLook w:val="04A0" w:firstRow="1" w:lastRow="0" w:firstColumn="1" w:lastColumn="0" w:noHBand="0" w:noVBand="1"/>
      </w:tblPr>
      <w:tblGrid>
        <w:gridCol w:w="3105"/>
        <w:gridCol w:w="3105"/>
        <w:gridCol w:w="3105"/>
      </w:tblGrid>
      <w:tr w:rsidR="00190425" w14:paraId="711D0340" w14:textId="77777777" w:rsidTr="00190425">
        <w:tc>
          <w:tcPr>
            <w:tcW w:w="310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14:paraId="65A2FCCD" w14:textId="77777777" w:rsidR="00190425" w:rsidRDefault="00190425">
            <w:pPr>
              <w:pStyle w:val="paragraph"/>
            </w:pPr>
            <w:r>
              <w:rPr>
                <w:rStyle w:val="normaltextrun"/>
                <w:sz w:val="24"/>
                <w:szCs w:val="24"/>
              </w:rPr>
              <w:t>Date</w:t>
            </w:r>
            <w:r>
              <w:rPr>
                <w:rStyle w:val="eop"/>
                <w:sz w:val="24"/>
                <w:szCs w:val="24"/>
              </w:rPr>
              <w:t> </w:t>
            </w:r>
          </w:p>
        </w:tc>
        <w:tc>
          <w:tcPr>
            <w:tcW w:w="310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38C92834" w14:textId="77777777" w:rsidR="00190425" w:rsidRDefault="00190425">
            <w:pPr>
              <w:pStyle w:val="paragraph"/>
            </w:pPr>
            <w:r>
              <w:rPr>
                <w:rStyle w:val="normaltextrun"/>
                <w:sz w:val="24"/>
                <w:szCs w:val="24"/>
              </w:rPr>
              <w:t>Portion of Students</w:t>
            </w:r>
            <w:r>
              <w:rPr>
                <w:rStyle w:val="eop"/>
                <w:sz w:val="24"/>
                <w:szCs w:val="24"/>
              </w:rPr>
              <w:t> </w:t>
            </w:r>
          </w:p>
        </w:tc>
        <w:tc>
          <w:tcPr>
            <w:tcW w:w="3105" w:type="dxa"/>
            <w:tcBorders>
              <w:top w:val="single" w:sz="6" w:space="0" w:color="auto"/>
              <w:left w:val="nil"/>
              <w:bottom w:val="single" w:sz="6" w:space="0" w:color="auto"/>
              <w:right w:val="single" w:sz="6" w:space="0" w:color="auto"/>
            </w:tcBorders>
            <w:tcMar>
              <w:top w:w="15" w:type="dxa"/>
              <w:left w:w="15" w:type="dxa"/>
              <w:bottom w:w="15" w:type="dxa"/>
              <w:right w:w="15" w:type="dxa"/>
            </w:tcMar>
            <w:hideMark/>
          </w:tcPr>
          <w:p w14:paraId="181823AB" w14:textId="77777777" w:rsidR="00190425" w:rsidRDefault="00190425">
            <w:pPr>
              <w:pStyle w:val="paragraph"/>
            </w:pPr>
            <w:r>
              <w:rPr>
                <w:rStyle w:val="normaltextrun"/>
                <w:sz w:val="24"/>
                <w:szCs w:val="24"/>
              </w:rPr>
              <w:t>Grade level</w:t>
            </w:r>
            <w:r>
              <w:rPr>
                <w:rStyle w:val="eop"/>
                <w:sz w:val="24"/>
                <w:szCs w:val="24"/>
              </w:rPr>
              <w:t> </w:t>
            </w:r>
          </w:p>
        </w:tc>
      </w:tr>
      <w:tr w:rsidR="00190425" w14:paraId="165B1DEA"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0112ADEF" w14:textId="77777777" w:rsidR="00190425" w:rsidRDefault="00190425">
            <w:pPr>
              <w:pStyle w:val="paragraph"/>
            </w:pPr>
            <w:r>
              <w:rPr>
                <w:rStyle w:val="normaltextrun"/>
                <w:sz w:val="24"/>
                <w:szCs w:val="24"/>
              </w:rPr>
              <w:t>September 8</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44A74AB8" w14:textId="77777777" w:rsidR="00190425" w:rsidRDefault="00190425">
            <w:pPr>
              <w:pStyle w:val="paragraph"/>
            </w:pPr>
            <w:r>
              <w:rPr>
                <w:rStyle w:val="normaltextrun"/>
                <w:sz w:val="24"/>
                <w:szCs w:val="24"/>
              </w:rPr>
              <w:t>1/2</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60EA44B7" w14:textId="77777777" w:rsidR="00190425" w:rsidRDefault="00190425">
            <w:pPr>
              <w:pStyle w:val="paragraph"/>
            </w:pPr>
            <w:r>
              <w:rPr>
                <w:rStyle w:val="normaltextrun"/>
                <w:sz w:val="24"/>
                <w:szCs w:val="24"/>
              </w:rPr>
              <w:t>K – </w:t>
            </w:r>
            <w:r>
              <w:t>8</w:t>
            </w:r>
            <w:r>
              <w:rPr>
                <w:rStyle w:val="eop"/>
                <w:sz w:val="24"/>
                <w:szCs w:val="24"/>
              </w:rPr>
              <w:t> </w:t>
            </w:r>
          </w:p>
        </w:tc>
      </w:tr>
      <w:tr w:rsidR="00190425" w14:paraId="6B0145EA"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40975008" w14:textId="77777777" w:rsidR="00190425" w:rsidRDefault="00190425">
            <w:pPr>
              <w:pStyle w:val="paragraph"/>
            </w:pPr>
            <w:r>
              <w:rPr>
                <w:rStyle w:val="normaltextrun"/>
                <w:sz w:val="24"/>
                <w:szCs w:val="24"/>
              </w:rPr>
              <w:t>September 8</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07E61B53" w14:textId="77777777" w:rsidR="00190425" w:rsidRDefault="00190425">
            <w:pPr>
              <w:pStyle w:val="paragraph"/>
            </w:pPr>
            <w:r>
              <w:rPr>
                <w:rStyle w:val="normaltextrun"/>
                <w:sz w:val="24"/>
                <w:szCs w:val="24"/>
              </w:rPr>
              <w:t>1/2</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21B2FF85" w14:textId="77777777" w:rsidR="00190425" w:rsidRDefault="00190425">
            <w:pPr>
              <w:pStyle w:val="paragraph"/>
            </w:pPr>
            <w:r>
              <w:rPr>
                <w:rStyle w:val="normaltextrun"/>
                <w:sz w:val="24"/>
                <w:szCs w:val="24"/>
              </w:rPr>
              <w:t>9-12</w:t>
            </w:r>
            <w:r>
              <w:rPr>
                <w:rStyle w:val="eop"/>
                <w:sz w:val="24"/>
                <w:szCs w:val="24"/>
              </w:rPr>
              <w:t> </w:t>
            </w:r>
          </w:p>
        </w:tc>
      </w:tr>
      <w:tr w:rsidR="00190425" w14:paraId="579E2DDA"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2AE40F7B" w14:textId="77777777" w:rsidR="00190425" w:rsidRDefault="00190425">
            <w:pPr>
              <w:pStyle w:val="paragraph"/>
            </w:pPr>
            <w:r>
              <w:rPr>
                <w:rStyle w:val="normaltextrun"/>
                <w:sz w:val="24"/>
                <w:szCs w:val="24"/>
              </w:rPr>
              <w:t>September 9</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0A32A3B3" w14:textId="77777777" w:rsidR="00190425" w:rsidRDefault="00190425">
            <w:pPr>
              <w:pStyle w:val="paragraph"/>
            </w:pPr>
            <w:r>
              <w:rPr>
                <w:rStyle w:val="normaltextrun"/>
                <w:sz w:val="24"/>
                <w:szCs w:val="24"/>
              </w:rPr>
              <w:t>1/2</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53BEBE7A" w14:textId="77777777" w:rsidR="00190425" w:rsidRDefault="00190425">
            <w:pPr>
              <w:pStyle w:val="paragraph"/>
            </w:pPr>
            <w:r>
              <w:rPr>
                <w:rStyle w:val="normaltextrun"/>
                <w:sz w:val="24"/>
                <w:szCs w:val="24"/>
              </w:rPr>
              <w:t>K – </w:t>
            </w:r>
            <w:r>
              <w:t>8</w:t>
            </w:r>
            <w:r>
              <w:rPr>
                <w:rStyle w:val="eop"/>
                <w:sz w:val="24"/>
                <w:szCs w:val="24"/>
              </w:rPr>
              <w:t> </w:t>
            </w:r>
          </w:p>
        </w:tc>
      </w:tr>
      <w:tr w:rsidR="00190425" w14:paraId="33FB8737"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6A51F4BC" w14:textId="77777777" w:rsidR="00190425" w:rsidRDefault="00190425">
            <w:pPr>
              <w:pStyle w:val="paragraph"/>
            </w:pPr>
            <w:r>
              <w:rPr>
                <w:rStyle w:val="normaltextrun"/>
                <w:sz w:val="24"/>
                <w:szCs w:val="24"/>
              </w:rPr>
              <w:t>September 9</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6526C9C1" w14:textId="77777777" w:rsidR="00190425" w:rsidRDefault="00190425">
            <w:pPr>
              <w:pStyle w:val="paragraph"/>
            </w:pPr>
            <w:r>
              <w:rPr>
                <w:rStyle w:val="normaltextrun"/>
                <w:sz w:val="24"/>
                <w:szCs w:val="24"/>
              </w:rPr>
              <w:t>1/2</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1C16DBD0" w14:textId="77777777" w:rsidR="00190425" w:rsidRDefault="00190425">
            <w:pPr>
              <w:pStyle w:val="paragraph"/>
            </w:pPr>
            <w:r>
              <w:rPr>
                <w:rStyle w:val="normaltextrun"/>
                <w:sz w:val="24"/>
                <w:szCs w:val="24"/>
              </w:rPr>
              <w:t>9-12</w:t>
            </w:r>
            <w:r>
              <w:rPr>
                <w:rStyle w:val="eop"/>
                <w:sz w:val="24"/>
                <w:szCs w:val="24"/>
              </w:rPr>
              <w:t> </w:t>
            </w:r>
          </w:p>
        </w:tc>
      </w:tr>
      <w:tr w:rsidR="00190425" w14:paraId="2339D6D9"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37F1BDA" w14:textId="77777777" w:rsidR="00190425" w:rsidRDefault="00190425">
            <w:pPr>
              <w:pStyle w:val="paragraph"/>
            </w:pPr>
            <w:r>
              <w:rPr>
                <w:rStyle w:val="normaltextrun"/>
                <w:sz w:val="24"/>
                <w:szCs w:val="24"/>
              </w:rPr>
              <w:t>September 10 </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4E5C4FFD" w14:textId="77777777" w:rsidR="00190425" w:rsidRDefault="00190425">
            <w:pPr>
              <w:pStyle w:val="paragraph"/>
            </w:pPr>
            <w:r>
              <w:rPr>
                <w:rStyle w:val="normaltextrun"/>
                <w:sz w:val="24"/>
                <w:szCs w:val="24"/>
              </w:rPr>
              <w:t>All</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467575ED" w14:textId="77777777" w:rsidR="00190425" w:rsidRDefault="00190425">
            <w:pPr>
              <w:pStyle w:val="paragraph"/>
            </w:pPr>
            <w:r>
              <w:rPr>
                <w:rStyle w:val="normaltextrun"/>
                <w:sz w:val="24"/>
                <w:szCs w:val="24"/>
              </w:rPr>
              <w:t>K – </w:t>
            </w:r>
            <w:r>
              <w:t>8</w:t>
            </w:r>
            <w:r>
              <w:rPr>
                <w:rStyle w:val="eop"/>
                <w:sz w:val="24"/>
                <w:szCs w:val="24"/>
              </w:rPr>
              <w:t> </w:t>
            </w:r>
          </w:p>
        </w:tc>
      </w:tr>
      <w:tr w:rsidR="00190425" w14:paraId="356DE4A8"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7CF3FCD3" w14:textId="77777777" w:rsidR="00190425" w:rsidRDefault="00190425">
            <w:pPr>
              <w:pStyle w:val="paragraph"/>
            </w:pPr>
            <w:r>
              <w:rPr>
                <w:rStyle w:val="normaltextrun"/>
                <w:sz w:val="24"/>
                <w:szCs w:val="24"/>
              </w:rPr>
              <w:t>September 10</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37371B1F" w14:textId="77777777" w:rsidR="00190425" w:rsidRDefault="00190425">
            <w:pPr>
              <w:pStyle w:val="paragraph"/>
            </w:pPr>
            <w:r>
              <w:rPr>
                <w:rStyle w:val="normaltextrun"/>
                <w:sz w:val="24"/>
                <w:szCs w:val="24"/>
              </w:rPr>
              <w:t>1/2</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58184076" w14:textId="77777777" w:rsidR="00190425" w:rsidRDefault="00190425">
            <w:pPr>
              <w:pStyle w:val="paragraph"/>
            </w:pPr>
            <w:r>
              <w:rPr>
                <w:rStyle w:val="normaltextrun"/>
                <w:sz w:val="24"/>
                <w:szCs w:val="24"/>
              </w:rPr>
              <w:t>9-12</w:t>
            </w:r>
            <w:r>
              <w:rPr>
                <w:rStyle w:val="eop"/>
                <w:sz w:val="24"/>
                <w:szCs w:val="24"/>
              </w:rPr>
              <w:t> </w:t>
            </w:r>
          </w:p>
        </w:tc>
      </w:tr>
      <w:tr w:rsidR="00190425" w14:paraId="7C2FCA19" w14:textId="77777777" w:rsidTr="00190425">
        <w:tc>
          <w:tcPr>
            <w:tcW w:w="3105" w:type="dxa"/>
            <w:tcBorders>
              <w:top w:val="nil"/>
              <w:left w:val="single" w:sz="6" w:space="0" w:color="auto"/>
              <w:bottom w:val="single" w:sz="6" w:space="0" w:color="auto"/>
              <w:right w:val="single" w:sz="6" w:space="0" w:color="auto"/>
            </w:tcBorders>
            <w:tcMar>
              <w:top w:w="15" w:type="dxa"/>
              <w:left w:w="15" w:type="dxa"/>
              <w:bottom w:w="15" w:type="dxa"/>
              <w:right w:w="15" w:type="dxa"/>
            </w:tcMar>
            <w:hideMark/>
          </w:tcPr>
          <w:p w14:paraId="53E9C930" w14:textId="77777777" w:rsidR="00190425" w:rsidRDefault="00190425">
            <w:pPr>
              <w:pStyle w:val="paragraph"/>
            </w:pPr>
            <w:r>
              <w:rPr>
                <w:rStyle w:val="normaltextrun"/>
                <w:sz w:val="24"/>
                <w:szCs w:val="24"/>
              </w:rPr>
              <w:t>September 11</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4AD80D34" w14:textId="77777777" w:rsidR="00190425" w:rsidRDefault="00190425">
            <w:pPr>
              <w:pStyle w:val="paragraph"/>
            </w:pPr>
            <w:r>
              <w:rPr>
                <w:rStyle w:val="normaltextrun"/>
                <w:sz w:val="24"/>
                <w:szCs w:val="24"/>
              </w:rPr>
              <w:t>1/2</w:t>
            </w:r>
            <w:r>
              <w:rPr>
                <w:rStyle w:val="eop"/>
                <w:sz w:val="24"/>
                <w:szCs w:val="24"/>
              </w:rPr>
              <w:t> </w:t>
            </w:r>
          </w:p>
        </w:tc>
        <w:tc>
          <w:tcPr>
            <w:tcW w:w="3105" w:type="dxa"/>
            <w:tcBorders>
              <w:top w:val="nil"/>
              <w:left w:val="nil"/>
              <w:bottom w:val="single" w:sz="6" w:space="0" w:color="auto"/>
              <w:right w:val="single" w:sz="6" w:space="0" w:color="auto"/>
            </w:tcBorders>
            <w:tcMar>
              <w:top w:w="15" w:type="dxa"/>
              <w:left w:w="15" w:type="dxa"/>
              <w:bottom w:w="15" w:type="dxa"/>
              <w:right w:w="15" w:type="dxa"/>
            </w:tcMar>
            <w:hideMark/>
          </w:tcPr>
          <w:p w14:paraId="5D7F6AC4" w14:textId="77777777" w:rsidR="00190425" w:rsidRDefault="00190425">
            <w:pPr>
              <w:pStyle w:val="paragraph"/>
            </w:pPr>
            <w:r>
              <w:rPr>
                <w:rStyle w:val="normaltextrun"/>
                <w:sz w:val="24"/>
                <w:szCs w:val="24"/>
              </w:rPr>
              <w:t>9-12</w:t>
            </w:r>
            <w:r>
              <w:rPr>
                <w:rStyle w:val="eop"/>
                <w:sz w:val="24"/>
                <w:szCs w:val="24"/>
              </w:rPr>
              <w:t> </w:t>
            </w:r>
          </w:p>
        </w:tc>
      </w:tr>
    </w:tbl>
    <w:p w14:paraId="50692CAC" w14:textId="77777777" w:rsidR="00190425" w:rsidRDefault="00190425" w:rsidP="00190425">
      <w:pPr>
        <w:pStyle w:val="paragraph"/>
        <w:shd w:val="clear" w:color="auto" w:fill="FFFFFF"/>
        <w:rPr>
          <w:rFonts w:ascii="Segoe UI" w:hAnsi="Segoe UI" w:cs="Segoe UI"/>
          <w:sz w:val="18"/>
          <w:szCs w:val="18"/>
        </w:rPr>
      </w:pPr>
      <w:r>
        <w:t> </w:t>
      </w:r>
    </w:p>
    <w:p w14:paraId="6DE3AB9B" w14:textId="77777777" w:rsidR="00190425" w:rsidRDefault="00190425" w:rsidP="00190425">
      <w:pPr>
        <w:pStyle w:val="paragraph"/>
        <w:shd w:val="clear" w:color="auto" w:fill="FFFFFF"/>
        <w:rPr>
          <w:rFonts w:ascii="Segoe UI" w:hAnsi="Segoe UI" w:cs="Segoe UI"/>
          <w:sz w:val="18"/>
          <w:szCs w:val="18"/>
        </w:rPr>
      </w:pPr>
      <w:r>
        <w:rPr>
          <w:rStyle w:val="normaltextrun"/>
        </w:rPr>
        <w:t>The school is creating a plan based on guidelines for return to school that has more detail.  This document will be posted on jcs.nbed.nb.ca and a voicemail will be sent as soon as approval of the plan is received.</w:t>
      </w:r>
      <w:r>
        <w:rPr>
          <w:rStyle w:val="eop"/>
        </w:rPr>
        <w:t> </w:t>
      </w:r>
    </w:p>
    <w:p w14:paraId="5B39E0CF" w14:textId="3C968A29" w:rsidR="006E7BEA" w:rsidRPr="00190425" w:rsidRDefault="006E7BEA" w:rsidP="00190425"/>
    <w:sectPr w:rsidR="006E7BEA" w:rsidRPr="00190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EA"/>
    <w:rsid w:val="00173973"/>
    <w:rsid w:val="00190425"/>
    <w:rsid w:val="002B1FD6"/>
    <w:rsid w:val="006E7BEA"/>
    <w:rsid w:val="00B017E8"/>
    <w:rsid w:val="00FA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46D5"/>
  <w15:chartTrackingRefBased/>
  <w15:docId w15:val="{BA35079F-3375-4E7E-AF06-581717A3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0425"/>
  </w:style>
  <w:style w:type="character" w:customStyle="1" w:styleId="normaltextrun">
    <w:name w:val="normaltextrun"/>
    <w:basedOn w:val="DefaultParagraphFont"/>
    <w:rsid w:val="00190425"/>
  </w:style>
  <w:style w:type="character" w:customStyle="1" w:styleId="eop">
    <w:name w:val="eop"/>
    <w:basedOn w:val="DefaultParagraphFont"/>
    <w:rsid w:val="00190425"/>
  </w:style>
  <w:style w:type="character" w:customStyle="1" w:styleId="contextualspellingandgrammarerror">
    <w:name w:val="contextualspellingandgrammarerror"/>
    <w:basedOn w:val="DefaultParagraphFont"/>
    <w:rsid w:val="00190425"/>
  </w:style>
  <w:style w:type="character" w:customStyle="1" w:styleId="spellingerror">
    <w:name w:val="spellingerror"/>
    <w:basedOn w:val="DefaultParagraphFont"/>
    <w:rsid w:val="00190425"/>
  </w:style>
  <w:style w:type="character" w:customStyle="1" w:styleId="advancedproofingissue">
    <w:name w:val="advancedproofingissue"/>
    <w:basedOn w:val="DefaultParagraphFont"/>
    <w:rsid w:val="0019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6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CDAA19E-78AF-4D07-A22B-60A520075947}"/>
</file>

<file path=customXml/itemProps2.xml><?xml version="1.0" encoding="utf-8"?>
<ds:datastoreItem xmlns:ds="http://schemas.openxmlformats.org/officeDocument/2006/customXml" ds:itemID="{6390BB30-B20D-43F7-8A37-7E3A23F7E85A}"/>
</file>

<file path=customXml/itemProps3.xml><?xml version="1.0" encoding="utf-8"?>
<ds:datastoreItem xmlns:ds="http://schemas.openxmlformats.org/officeDocument/2006/customXml" ds:itemID="{AC54D0B8-58EC-4512-B649-FA7EFFD5614D}"/>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Kevin (ASD-W)</dc:creator>
  <cp:keywords/>
  <dc:description/>
  <cp:lastModifiedBy>Harding, Kevin (ASD-W)</cp:lastModifiedBy>
  <cp:revision>1</cp:revision>
  <dcterms:created xsi:type="dcterms:W3CDTF">2020-08-19T14:49:00Z</dcterms:created>
  <dcterms:modified xsi:type="dcterms:W3CDTF">2020-08-19T15:29:00Z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